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 xml:space="preserve">Le formulaire DC4 est un modèle de déclaration de sous-traitance qui peut être utilisé par les soumissionnaires ou titulaires de </w:t>
      </w:r>
      <w:r w:rsidRPr="00663CCF">
        <w:rPr>
          <w:rFonts w:asciiTheme="minorHAnsi" w:hAnsiTheme="minorHAnsi" w:cstheme="minorHAnsi"/>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sidRPr="00663CCF">
        <w:rPr>
          <w:rFonts w:asciiTheme="minorHAnsi" w:hAnsiTheme="minorHAnsi" w:cstheme="minorHAnsi"/>
          <w:b/>
          <w:sz w:val="18"/>
        </w:rPr>
        <w:t>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EB411F">
      <w:pPr>
        <w:spacing w:line="249" w:lineRule="exact"/>
        <w:ind w:left="332"/>
        <w:jc w:val="both"/>
        <w:rPr>
          <w:rFonts w:asciiTheme="minorHAnsi" w:hAnsiTheme="minorHAnsi" w:cstheme="minorHAnsi"/>
          <w:b/>
          <w:sz w:val="18"/>
        </w:rPr>
      </w:pP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2162-6</w:t>
        </w:r>
        <w:r w:rsidRPr="00663CCF">
          <w:rPr>
            <w:rFonts w:asciiTheme="minorHAnsi" w:hAnsiTheme="minorHAnsi" w:cstheme="minorHAnsi"/>
            <w:b/>
            <w:sz w:val="18"/>
          </w:rPr>
          <w:t>,</w:t>
        </w:r>
      </w:hyperlink>
      <w:r w:rsidRPr="00663CCF">
        <w:rPr>
          <w:rFonts w:asciiTheme="minorHAnsi" w:hAnsiTheme="minorHAnsi" w:cstheme="minorHAnsi"/>
          <w:b/>
          <w:spacing w:val="33"/>
          <w:sz w:val="18"/>
        </w:rPr>
        <w:t xml:space="preserve"> </w:t>
      </w:r>
      <w:hyperlink r:id="rId11">
        <w:r w:rsidRPr="00663CCF">
          <w:rPr>
            <w:rFonts w:asciiTheme="minorHAnsi" w:hAnsiTheme="minorHAnsi" w:cstheme="minorHAnsi"/>
            <w:b/>
            <w:color w:val="0000FF"/>
            <w:sz w:val="18"/>
            <w:u w:val="single" w:color="0000FF"/>
          </w:rPr>
          <w:t>R. 2162-7</w:t>
        </w:r>
        <w:r w:rsidRPr="00663CCF">
          <w:rPr>
            <w:rFonts w:asciiTheme="minorHAnsi" w:hAnsiTheme="minorHAnsi" w:cstheme="minorHAnsi"/>
            <w:b/>
            <w:color w:val="0000FF"/>
            <w:spacing w:val="3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2162-12</w:t>
        </w:r>
        <w:r w:rsidRPr="00663CCF">
          <w:rPr>
            <w:rFonts w:asciiTheme="minorHAnsi" w:hAnsiTheme="minorHAnsi" w:cstheme="minorHAnsi"/>
            <w:b/>
            <w:sz w:val="18"/>
          </w:rPr>
          <w:t>,</w:t>
        </w:r>
      </w:hyperlink>
      <w:r w:rsidRPr="00663CCF">
        <w:rPr>
          <w:rFonts w:asciiTheme="minorHAnsi" w:hAnsiTheme="minorHAnsi" w:cstheme="minorHAnsi"/>
          <w:b/>
          <w:spacing w:val="33"/>
          <w:sz w:val="18"/>
        </w:rPr>
        <w:t xml:space="preserve"> </w:t>
      </w:r>
      <w:hyperlink r:id="rId12">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2162-13</w:t>
        </w:r>
        <w:r w:rsidRPr="00663CCF">
          <w:rPr>
            <w:rFonts w:asciiTheme="minorHAnsi" w:hAnsiTheme="minorHAnsi" w:cstheme="minorHAnsi"/>
            <w:b/>
            <w:color w:val="0000FF"/>
            <w:spacing w:val="3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2"/>
            <w:sz w:val="18"/>
            <w:u w:val="single" w:color="0000FF"/>
          </w:rPr>
          <w:t xml:space="preserve"> </w:t>
        </w:r>
        <w:r w:rsidRPr="00663CCF">
          <w:rPr>
            <w:rFonts w:asciiTheme="minorHAnsi" w:hAnsiTheme="minorHAnsi" w:cstheme="minorHAnsi"/>
            <w:b/>
            <w:color w:val="0000FF"/>
            <w:sz w:val="18"/>
            <w:u w:val="single" w:color="0000FF"/>
          </w:rPr>
          <w:t>2162-14</w:t>
        </w:r>
      </w:hyperlink>
      <w:r w:rsidRPr="00663CCF">
        <w:rPr>
          <w:rFonts w:asciiTheme="minorHAnsi" w:hAnsiTheme="minorHAnsi" w:cstheme="minorHAnsi"/>
          <w:b/>
          <w:color w:val="0000FF"/>
          <w:spacing w:val="3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33"/>
          <w:sz w:val="18"/>
        </w:rPr>
        <w:t xml:space="preserve"> </w:t>
      </w:r>
      <w:hyperlink r:id="rId13">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2162-15</w:t>
        </w:r>
        <w:r w:rsidRPr="00663CCF">
          <w:rPr>
            <w:rFonts w:asciiTheme="minorHAnsi" w:hAnsiTheme="minorHAnsi" w:cstheme="minorHAnsi"/>
            <w:b/>
            <w:color w:val="0000FF"/>
            <w:spacing w:val="3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2"/>
            <w:sz w:val="18"/>
            <w:u w:val="single" w:color="0000FF"/>
          </w:rPr>
          <w:t xml:space="preserve"> </w:t>
        </w:r>
        <w:r w:rsidRPr="00663CCF">
          <w:rPr>
            <w:rFonts w:asciiTheme="minorHAnsi" w:hAnsiTheme="minorHAnsi" w:cstheme="minorHAnsi"/>
            <w:b/>
            <w:color w:val="0000FF"/>
            <w:sz w:val="18"/>
            <w:u w:val="single" w:color="0000FF"/>
          </w:rPr>
          <w:t>2162-21</w:t>
        </w:r>
      </w:hyperlink>
      <w:r w:rsidRPr="00663CCF">
        <w:rPr>
          <w:rFonts w:asciiTheme="minorHAnsi" w:hAnsiTheme="minorHAnsi" w:cstheme="minorHAnsi"/>
          <w:b/>
          <w:color w:val="0000FF"/>
          <w:spacing w:val="32"/>
          <w:sz w:val="18"/>
        </w:rPr>
        <w:t xml:space="preserve"> </w:t>
      </w:r>
      <w:r w:rsidRPr="00663CCF">
        <w:rPr>
          <w:rFonts w:asciiTheme="minorHAnsi" w:hAnsiTheme="minorHAnsi" w:cstheme="minorHAnsi"/>
          <w:b/>
          <w:sz w:val="18"/>
        </w:rPr>
        <w:t>(</w:t>
      </w:r>
      <w:r w:rsidRPr="00663CCF">
        <w:rPr>
          <w:rFonts w:asciiTheme="minorHAnsi" w:hAnsiTheme="minorHAnsi" w:cstheme="minorHAnsi"/>
          <w:b/>
          <w:sz w:val="18"/>
        </w:rPr>
        <w:t>marchés</w:t>
      </w:r>
      <w:r w:rsidRPr="00663CCF">
        <w:rPr>
          <w:rFonts w:asciiTheme="minorHAnsi" w:hAnsiTheme="minorHAnsi" w:cstheme="minorHAnsi"/>
          <w:b/>
          <w:spacing w:val="32"/>
          <w:sz w:val="18"/>
        </w:rPr>
        <w:t xml:space="preserve"> </w:t>
      </w:r>
      <w:r w:rsidRPr="00663CCF">
        <w:rPr>
          <w:rFonts w:asciiTheme="minorHAnsi" w:hAnsiTheme="minorHAnsi" w:cstheme="minorHAnsi"/>
          <w:b/>
          <w:sz w:val="18"/>
        </w:rPr>
        <w:t>publics</w:t>
      </w:r>
      <w:r w:rsidRPr="00663CCF">
        <w:rPr>
          <w:rFonts w:asciiTheme="minorHAnsi" w:hAnsiTheme="minorHAnsi" w:cstheme="minorHAnsi"/>
          <w:b/>
          <w:spacing w:val="35"/>
          <w:sz w:val="18"/>
        </w:rPr>
        <w:t xml:space="preserve"> </w:t>
      </w:r>
      <w:r w:rsidRPr="00663CCF">
        <w:rPr>
          <w:rFonts w:asciiTheme="minorHAnsi" w:hAnsiTheme="minorHAnsi" w:cstheme="minorHAnsi"/>
          <w:b/>
          <w:sz w:val="18"/>
        </w:rPr>
        <w:t>autres</w:t>
      </w:r>
      <w:r w:rsidRPr="00663CCF">
        <w:rPr>
          <w:rFonts w:asciiTheme="minorHAnsi" w:hAnsiTheme="minorHAnsi" w:cstheme="minorHAnsi"/>
          <w:b/>
          <w:spacing w:val="35"/>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32"/>
          <w:sz w:val="18"/>
        </w:rPr>
        <w:t xml:space="preserve"> </w:t>
      </w:r>
      <w:r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w:t>
      </w:r>
      <w:r w:rsidRPr="00663CCF">
        <w:rPr>
          <w:rFonts w:asciiTheme="minorHAnsi" w:hAnsiTheme="minorHAnsi" w:cstheme="minorHAnsi"/>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sidRPr="00663CCF">
        <w:rPr>
          <w:rFonts w:asciiTheme="minorHAnsi" w:hAnsiTheme="minorHAnsi" w:cstheme="minorHAnsi"/>
          <w:b/>
          <w:sz w:val="18"/>
        </w:rPr>
        <w:t>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w:t>
      </w:r>
      <w:proofErr w:type="gramStart"/>
      <w:r w:rsidRPr="00BB3CB2">
        <w:rPr>
          <w:rFonts w:ascii="Calibri" w:hAnsi="Calibri" w:cs="Calibri"/>
          <w:b/>
        </w:rPr>
        <w:t>rue</w:t>
      </w:r>
      <w:proofErr w:type="gramEnd"/>
      <w:r w:rsidRPr="00BB3CB2">
        <w:rPr>
          <w:rFonts w:ascii="Calibri" w:hAnsi="Calibri" w:cs="Calibri"/>
          <w:b/>
        </w:rPr>
        <w:t xml:space="preserv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w:t>
      </w:r>
      <w:r w:rsidRPr="00663CCF">
        <w:rPr>
          <w:rFonts w:asciiTheme="minorHAnsi" w:hAnsiTheme="minorHAnsi" w:cstheme="minorHAnsi"/>
          <w:b/>
          <w:sz w:val="20"/>
        </w:rPr>
        <w:t xml:space="preserv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w:t>
      </w:r>
      <w:r w:rsidRPr="00663CCF">
        <w:rPr>
          <w:rFonts w:asciiTheme="minorHAnsi" w:hAnsiTheme="minorHAnsi" w:cstheme="minorHAnsi"/>
          <w:b/>
          <w:sz w:val="20"/>
        </w:rPr>
        <w:t xml:space="preserve">(nantissements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663CCF">
      <w:pPr>
        <w:spacing w:before="119"/>
        <w:ind w:left="331" w:right="706"/>
        <w:jc w:val="both"/>
        <w:rPr>
          <w:rFonts w:asciiTheme="minorHAnsi" w:hAnsiTheme="minorHAnsi" w:cstheme="minorHAnsi"/>
          <w:i/>
          <w:sz w:val="18"/>
        </w:rPr>
      </w:pPr>
      <w:r w:rsidRPr="00663CCF">
        <w:rPr>
          <w:rFonts w:asciiTheme="minorHAnsi" w:hAnsiTheme="minorHAnsi" w:cstheme="minorHAnsi"/>
          <w:i/>
          <w:sz w:val="18"/>
          <w:highlight w:val="yellow"/>
        </w:rPr>
        <w:t>XXX</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w:t>
      </w:r>
      <w:r w:rsidRPr="00663CCF">
        <w:rPr>
          <w:rFonts w:asciiTheme="minorHAnsi" w:hAnsiTheme="minorHAnsi" w:cstheme="minorHAnsi"/>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sidRPr="00663CCF">
        <w:rPr>
          <w:rFonts w:asciiTheme="minorHAnsi" w:hAnsiTheme="minorHAnsi" w:cstheme="minorHAnsi"/>
          <w:b/>
          <w:sz w:val="20"/>
        </w:rPr>
        <w:t>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 xml:space="preserve">Numéro SIRET, à défaut, un numéro d’identification européen ou international ou propre au pays </w:t>
      </w:r>
      <w:r w:rsidRPr="00663CCF">
        <w:rPr>
          <w:rFonts w:asciiTheme="minorHAnsi" w:hAnsiTheme="minorHAnsi" w:cstheme="minorHAnsi"/>
          <w:b/>
          <w:sz w:val="20"/>
        </w:rPr>
        <w:t>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w:t>
      </w:r>
      <w:r w:rsidRPr="00663CCF">
        <w:rPr>
          <w:rFonts w:asciiTheme="minorHAnsi" w:hAnsiTheme="minorHAnsi" w:cstheme="minorHAnsi"/>
          <w:i/>
          <w:sz w:val="18"/>
        </w:rPr>
        <w:t xml:space="preserve">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w:t>
      </w:r>
      <w:r w:rsidRPr="00663CCF">
        <w:rPr>
          <w:rFonts w:asciiTheme="minorHAnsi" w:hAnsiTheme="minorHAnsi" w:cstheme="minorHAnsi"/>
          <w:b/>
          <w:sz w:val="20"/>
        </w:rPr>
        <w:t xml:space="preserv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(Indiquer le nom, prénom et la qualité de chaque personne. En MDS, joindre en annexe un justificatif prouvant l’habilitation à engager le sous-traitant. Pour les autres marchés publics, ce document sera à fournir à la demande d</w:t>
      </w:r>
      <w:r w:rsidRPr="00663CCF">
        <w:rPr>
          <w:rFonts w:asciiTheme="minorHAnsi" w:hAnsiTheme="minorHAnsi" w:cstheme="minorHAnsi"/>
          <w:i/>
          <w:sz w:val="18"/>
        </w:rPr>
        <w:t xml:space="preserve">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w:t>
      </w:r>
      <w:r w:rsidRPr="00663CCF">
        <w:rPr>
          <w:rFonts w:asciiTheme="minorHAnsi" w:hAnsiTheme="minorHAnsi" w:cstheme="minorHAnsi"/>
        </w:rPr>
        <w:t>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w:t>
      </w:r>
      <w:r w:rsidRPr="00663CCF">
        <w:rPr>
          <w:rFonts w:asciiTheme="minorHAnsi" w:hAnsiTheme="minorHAnsi" w:cstheme="minorHAnsi"/>
        </w:rPr>
        <w:t xml:space="preserve">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w:t>
      </w:r>
      <w:r w:rsidRPr="00663CCF">
        <w:rPr>
          <w:rFonts w:asciiTheme="minorHAnsi" w:hAnsiTheme="minorHAnsi" w:cstheme="minorHAnsi"/>
        </w:rPr>
        <w:t>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Récapitulatif des informations et ren</w:t>
      </w:r>
      <w:r w:rsidRPr="00663CCF">
        <w:rPr>
          <w:rFonts w:asciiTheme="minorHAnsi" w:hAnsiTheme="minorHAnsi" w:cstheme="minorHAnsi"/>
        </w:rPr>
        <w:t>seignements (marchés publics hors MDS) ou des pièces (MDS) demandés par l’acheteur dans les documents de la consultation qui doivent être fournis, en annexe du présent document, par le sous-traitant pour justifier de son aptitude à exercer l’activité profe</w:t>
      </w:r>
      <w:r w:rsidRPr="00663CCF">
        <w:rPr>
          <w:rFonts w:asciiTheme="minorHAnsi" w:hAnsiTheme="minorHAnsi" w:cstheme="minorHAnsi"/>
        </w:rPr>
        <w:t xml:space="preserv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w:t>
      </w:r>
      <w:r w:rsidRPr="00663CCF">
        <w:rPr>
          <w:rFonts w:asciiTheme="minorHAnsi" w:hAnsiTheme="minorHAnsi" w:cstheme="minorHAnsi"/>
          <w:i/>
          <w:sz w:val="18"/>
        </w:rPr>
        <w:t xml:space="preserve">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w:t>
      </w:r>
      <w:r w:rsidRPr="00663CCF">
        <w:rPr>
          <w:rFonts w:asciiTheme="minorHAnsi" w:hAnsiTheme="minorHAnsi" w:cstheme="minorHAnsi"/>
          <w:i/>
          <w:sz w:val="18"/>
        </w:rPr>
        <w:t>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xml:space="preserve">(**) Dans l’hypothèse où le sous-traitant </w:t>
      </w:r>
      <w:r w:rsidRPr="00663CCF">
        <w:rPr>
          <w:rFonts w:asciiTheme="minorHAnsi" w:hAnsiTheme="minorHAnsi" w:cstheme="minorHAnsi"/>
          <w:i/>
          <w:sz w:val="18"/>
        </w:rPr>
        <w:t>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K2 – Documents de preuve disponibles e</w:t>
      </w:r>
      <w:r w:rsidRPr="00663CCF">
        <w:rPr>
          <w:rFonts w:asciiTheme="minorHAnsi" w:hAnsiTheme="minorHAnsi" w:cstheme="minorHAnsi"/>
          <w:b/>
        </w:rPr>
        <w:t xml:space="preserv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w:t>
      </w:r>
      <w:r w:rsidRPr="00663CCF">
        <w:rPr>
          <w:rFonts w:asciiTheme="minorHAnsi" w:hAnsiTheme="minorHAnsi" w:cstheme="minorHAnsi"/>
        </w:rPr>
        <w:t>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 xml:space="preserve">Le titulaire établit qu'aucune </w:t>
      </w:r>
      <w:r w:rsidRPr="00663CCF">
        <w:rPr>
          <w:rFonts w:asciiTheme="minorHAnsi" w:hAnsiTheme="minorHAnsi" w:cstheme="minorHAnsi"/>
        </w:rPr>
        <w:t>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w:t>
      </w:r>
      <w:r w:rsidRPr="00663CCF">
        <w:rPr>
          <w:rFonts w:asciiTheme="minorHAnsi" w:hAnsiTheme="minorHAnsi" w:cstheme="minorHAnsi"/>
        </w:rPr>
        <w:t xml:space="preserve">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z w:val="20"/>
        </w:rPr>
        <w:t xml:space="preserve">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w:t>
      </w:r>
      <w:r w:rsidRPr="00663CCF">
        <w:rPr>
          <w:rFonts w:asciiTheme="minorHAnsi" w:hAnsiTheme="minorHAnsi" w:cstheme="minorHAnsi"/>
          <w:b/>
          <w:color w:val="FFFFFF"/>
          <w:shd w:val="clear" w:color="auto" w:fill="3557A1"/>
        </w:rPr>
        <w: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xml:space="preserve">non exigée </w:t>
      </w:r>
      <w:r w:rsidRPr="00663CCF">
        <w:rPr>
          <w:rFonts w:asciiTheme="minorHAnsi" w:hAnsiTheme="minorHAnsi" w:cstheme="minorHAnsi"/>
          <w:i/>
          <w:color w:val="000000"/>
          <w:sz w:val="18"/>
        </w:rPr>
        <w:t>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 xml:space="preserve">le DC4 complété afin que ce dernier le retourne signé de lui-même et de son sous-traitant. L’acheteur pourra alors notifier au titulaire </w:t>
      </w:r>
      <w:r w:rsidRPr="00663CCF">
        <w:rPr>
          <w:rFonts w:asciiTheme="minorHAnsi" w:hAnsiTheme="minorHAnsi" w:cstheme="minorHAnsi"/>
          <w:i/>
          <w:color w:val="000000"/>
          <w:sz w:val="18"/>
        </w:rPr>
        <w:t>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bookmarkStart w:id="6" w:name="_GoBack"/>
      <w:bookmarkEnd w:id="6"/>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 xml:space="preserve">(Une copie de l'original du marché ou du certificat de cessibilité ou, le cas échéant, de l'acte spécial, doit être remise à chaque sous-traitant bénéficiant du paiement </w:t>
      </w:r>
      <w:r w:rsidRPr="00663CCF">
        <w:rPr>
          <w:rFonts w:asciiTheme="minorHAnsi" w:hAnsiTheme="minorHAnsi" w:cstheme="minorHAnsi"/>
          <w:i/>
          <w:color w:val="000000"/>
          <w:sz w:val="18"/>
        </w:rPr>
        <w:t>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3553</Words>
  <Characters>19544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NONY, Christine</cp:lastModifiedBy>
  <cp:revision>3</cp:revision>
  <dcterms:created xsi:type="dcterms:W3CDTF">2025-02-18T15:49:00Z</dcterms:created>
  <dcterms:modified xsi:type="dcterms:W3CDTF">2025-02-18T16:01:00Z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